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9C05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125B13BB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4ACCABB5" w14:textId="77777777" w:rsidR="00A177C8" w:rsidRDefault="00121C8E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  <w:r>
        <w:rPr>
          <w:rFonts w:ascii="黑体" w:eastAsia="黑体" w:hAnsi="黑体" w:cs="Arial"/>
          <w:color w:val="000000"/>
          <w:kern w:val="36"/>
          <w:sz w:val="44"/>
          <w:szCs w:val="44"/>
        </w:rPr>
        <w:t>南京峻景房地产开发有限公司破产清算法</w:t>
      </w:r>
      <w:proofErr w:type="gramStart"/>
      <w:r>
        <w:rPr>
          <w:rFonts w:ascii="黑体" w:eastAsia="黑体" w:hAnsi="黑体" w:cs="Arial"/>
          <w:color w:val="000000"/>
          <w:kern w:val="36"/>
          <w:sz w:val="44"/>
          <w:szCs w:val="44"/>
        </w:rPr>
        <w:t>务</w:t>
      </w:r>
      <w:proofErr w:type="gramEnd"/>
      <w:r>
        <w:rPr>
          <w:rFonts w:ascii="黑体" w:eastAsia="黑体" w:hAnsi="黑体" w:cs="Arial"/>
          <w:color w:val="000000"/>
          <w:kern w:val="36"/>
          <w:sz w:val="44"/>
          <w:szCs w:val="44"/>
        </w:rPr>
        <w:t>服务项目投标文件</w:t>
      </w:r>
    </w:p>
    <w:p w14:paraId="6DD062FB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2E8A254D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3099AE3E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27FFDD1A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1B27C621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7987C13A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4B38C8DF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0B45E4E6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0AA70901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3DD30487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2DBF0F71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08BE22E9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29AFD25B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068B75B2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36463650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5C69CC8F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28E40F3B" w14:textId="77777777" w:rsidR="00A177C8" w:rsidRDefault="00121C8E">
      <w:pPr>
        <w:widowControl/>
        <w:spacing w:line="360" w:lineRule="auto"/>
        <w:ind w:firstLineChars="600" w:firstLine="144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投标单位（盖章）：________________________</w:t>
      </w:r>
    </w:p>
    <w:p w14:paraId="5029010E" w14:textId="77777777" w:rsidR="00A177C8" w:rsidRDefault="00121C8E">
      <w:pPr>
        <w:widowControl/>
        <w:spacing w:line="360" w:lineRule="auto"/>
        <w:ind w:firstLineChars="600" w:firstLine="144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法定代表人（签字 / 盖章）：__________________</w:t>
      </w:r>
    </w:p>
    <w:p w14:paraId="501A5FE2" w14:textId="77777777" w:rsidR="00A177C8" w:rsidRDefault="00121C8E">
      <w:pPr>
        <w:widowControl/>
        <w:spacing w:line="360" w:lineRule="auto"/>
        <w:ind w:firstLineChars="600" w:firstLine="144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编制日期：_______年____月____日</w:t>
      </w:r>
    </w:p>
    <w:p w14:paraId="1EDD4D3A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目 录</w:t>
      </w:r>
    </w:p>
    <w:p w14:paraId="2AE861AB" w14:textId="31BB39BF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一、投标函</w:t>
      </w:r>
    </w:p>
    <w:p w14:paraId="2FF7AE6B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二、投标函附录</w:t>
      </w:r>
    </w:p>
    <w:p w14:paraId="4BEB1BC8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三、投标报价表</w:t>
      </w:r>
    </w:p>
    <w:p w14:paraId="1595AA7D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四、法定代表人身份证明</w:t>
      </w:r>
    </w:p>
    <w:p w14:paraId="29BA474B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五、授权委托书</w:t>
      </w:r>
    </w:p>
    <w:p w14:paraId="6A4DBF77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六、商务偏离表</w:t>
      </w:r>
    </w:p>
    <w:p w14:paraId="43B7336A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七、投标人基本情况</w:t>
      </w:r>
    </w:p>
    <w:p w14:paraId="663C34A9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八、资格资质证明材料</w:t>
      </w:r>
    </w:p>
    <w:p w14:paraId="2EBD185A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九、保密承诺书</w:t>
      </w:r>
    </w:p>
    <w:p w14:paraId="275C102F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十、廉洁执业承诺书</w:t>
      </w:r>
    </w:p>
    <w:p w14:paraId="11E5AC99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十一、无不良执业记录承诺书</w:t>
      </w:r>
    </w:p>
    <w:p w14:paraId="331B3509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十二、整体服务实施方案</w:t>
      </w:r>
    </w:p>
    <w:p w14:paraId="1C954706" w14:textId="1D7A180F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十三、同类项目业绩材料</w:t>
      </w:r>
    </w:p>
    <w:p w14:paraId="25D281F4" w14:textId="2FE01DA9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十</w:t>
      </w:r>
      <w:r w:rsidR="001134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四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、服务承诺及附件</w:t>
      </w:r>
    </w:p>
    <w:p w14:paraId="17D0402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BCDBD9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14A8F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48F272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68E666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4366F4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96E07C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6A3AB9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BA545B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F94F94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7BCF4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0075820" w14:textId="43DEB0FD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138B685" w14:textId="07BEF9A4" w:rsidR="00113422" w:rsidRDefault="001134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7BBC94" w14:textId="59FE55DA" w:rsidR="00113422" w:rsidRDefault="001134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D306F1B" w14:textId="77777777" w:rsidR="00113422" w:rsidRDefault="0011342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345802B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61F273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5269F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C05A6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375F91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395808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一、投标函</w:t>
      </w:r>
    </w:p>
    <w:p w14:paraId="51F2F22A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致：________________________</w:t>
      </w:r>
    </w:p>
    <w:p w14:paraId="70410521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我方已全面研读南京峻景房地产开发有限公司破产清算法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务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服务项目全部招标要求，自愿参与本次投标，承诺全程承接本项目破产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清算全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流程及收尾全部法务工作。</w:t>
      </w:r>
    </w:p>
    <w:p w14:paraId="096EB4F5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.本项目投标总报价：人民币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元（大写________________）。</w:t>
      </w:r>
    </w:p>
    <w:p w14:paraId="7720D91E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.服务期限：自合同签订生效之日起，直至南京峻景房地产开发有限公司破产清算程序全部终结、注销办结、档案完整移交、所有收尾事宜办结为止。</w:t>
      </w:r>
    </w:p>
    <w:p w14:paraId="423643FE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.我方承诺投标资料全部真实合法，无虚假、隐瞒、伪造情形。</w:t>
      </w:r>
    </w:p>
    <w:p w14:paraId="36DB36EC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.中标后严格按照招标文件、投标承诺及法律法规开展服务，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不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转包、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不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分包、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不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擅自更换核心服务人员。</w:t>
      </w:r>
    </w:p>
    <w:p w14:paraId="12D6D8CC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.全面负责破产立案、债权审核、资产处置、债权人会议、诉讼代理、清算报告、工商税务银行注销、档案归档移交、遗留问题处置等全部工作，圆满完成项目闭环收尾。</w:t>
      </w:r>
    </w:p>
    <w:p w14:paraId="5747D483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.严格保守项目涉密信息，恪守执业廉洁规定，接受招标方全过程监督与考核。</w:t>
      </w:r>
    </w:p>
    <w:p w14:paraId="79B08D96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若我方中标，将按规定时限签订服务合同，全面履约。</w:t>
      </w:r>
    </w:p>
    <w:p w14:paraId="1366894B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29F85FA7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45F8758F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0534B832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投标单位（公章）：</w:t>
      </w:r>
    </w:p>
    <w:p w14:paraId="528AFDA7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法定代表人（签字）：</w:t>
      </w:r>
    </w:p>
    <w:p w14:paraId="3931BEF1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联系电话：</w:t>
      </w:r>
    </w:p>
    <w:p w14:paraId="44770422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24E66B5D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9B59D2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6F4DE8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397B85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8B5F00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B3DAE5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6B18E8D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二、投标函附录</w:t>
      </w:r>
    </w:p>
    <w:p w14:paraId="28521504" w14:textId="77777777" w:rsidR="00A177C8" w:rsidRDefault="00A177C8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46"/>
        <w:gridCol w:w="1701"/>
        <w:gridCol w:w="6237"/>
      </w:tblGrid>
      <w:tr w:rsidR="00A177C8" w14:paraId="2047BCBC" w14:textId="77777777">
        <w:tc>
          <w:tcPr>
            <w:tcW w:w="846" w:type="dxa"/>
          </w:tcPr>
          <w:p w14:paraId="7F7F9BB6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14:paraId="5D859372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6237" w:type="dxa"/>
          </w:tcPr>
          <w:p w14:paraId="68765FD7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具体内容</w:t>
            </w:r>
          </w:p>
        </w:tc>
      </w:tr>
      <w:tr w:rsidR="00A177C8" w14:paraId="4E90FF34" w14:textId="77777777">
        <w:tc>
          <w:tcPr>
            <w:tcW w:w="846" w:type="dxa"/>
          </w:tcPr>
          <w:p w14:paraId="7B2034E9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D9ACCD4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6237" w:type="dxa"/>
          </w:tcPr>
          <w:p w14:paraId="56B08FFF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南京峻景房地产开发有限公司破产清算法</w:t>
            </w:r>
            <w:proofErr w:type="gramStart"/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全程服务</w:t>
            </w:r>
          </w:p>
        </w:tc>
      </w:tr>
      <w:tr w:rsidR="00A177C8" w14:paraId="3F8E4745" w14:textId="77777777">
        <w:tc>
          <w:tcPr>
            <w:tcW w:w="846" w:type="dxa"/>
          </w:tcPr>
          <w:p w14:paraId="2B9B585E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199C5E6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服务周期</w:t>
            </w:r>
          </w:p>
        </w:tc>
        <w:tc>
          <w:tcPr>
            <w:tcW w:w="6237" w:type="dxa"/>
          </w:tcPr>
          <w:p w14:paraId="0349C16E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清算全</w:t>
            </w:r>
            <w:proofErr w:type="gramEnd"/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流程 + 全部收尾办结为止</w:t>
            </w:r>
          </w:p>
        </w:tc>
      </w:tr>
      <w:tr w:rsidR="00A177C8" w14:paraId="73DC094F" w14:textId="77777777">
        <w:tc>
          <w:tcPr>
            <w:tcW w:w="846" w:type="dxa"/>
          </w:tcPr>
          <w:p w14:paraId="5050EAC8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B4BDB8A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6237" w:type="dxa"/>
          </w:tcPr>
          <w:p w14:paraId="383211A7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姓名：_______ 执业证号：_______ 联系方式：_______</w:t>
            </w:r>
          </w:p>
        </w:tc>
      </w:tr>
      <w:tr w:rsidR="00A177C8" w14:paraId="4B085AF3" w14:textId="77777777">
        <w:tc>
          <w:tcPr>
            <w:tcW w:w="846" w:type="dxa"/>
          </w:tcPr>
          <w:p w14:paraId="5B5E0D24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22AF838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服务响应时效</w:t>
            </w:r>
          </w:p>
        </w:tc>
        <w:tc>
          <w:tcPr>
            <w:tcW w:w="6237" w:type="dxa"/>
          </w:tcPr>
          <w:p w14:paraId="05814388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日常工作 4 小时内响应，紧急事项 2 小时到场处置</w:t>
            </w:r>
          </w:p>
        </w:tc>
      </w:tr>
      <w:tr w:rsidR="00A177C8" w14:paraId="08DE2ED1" w14:textId="77777777">
        <w:tc>
          <w:tcPr>
            <w:tcW w:w="846" w:type="dxa"/>
          </w:tcPr>
          <w:p w14:paraId="1A95EC01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48BA009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服务标准</w:t>
            </w:r>
          </w:p>
        </w:tc>
        <w:tc>
          <w:tcPr>
            <w:tcW w:w="6237" w:type="dxa"/>
          </w:tcPr>
          <w:p w14:paraId="7B871930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符合《企业破产法》及司法解释，程序合法无差错</w:t>
            </w:r>
          </w:p>
        </w:tc>
      </w:tr>
    </w:tbl>
    <w:p w14:paraId="54B680CD" w14:textId="77777777" w:rsidR="00A177C8" w:rsidRDefault="00A177C8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12B53049" w14:textId="77777777" w:rsidR="00A177C8" w:rsidRDefault="00A177C8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3C2C1299" w14:textId="77777777" w:rsidR="00A177C8" w:rsidRDefault="00A177C8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25CA6519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投标单位盖章：</w:t>
      </w:r>
    </w:p>
    <w:p w14:paraId="60953BC2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58226CD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2682B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08EBB8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08820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E87396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D3E033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BBBDB3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ED25F0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7F10CA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F7457F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747A49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913C4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85ADAC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BD6E46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587F3B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731C21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D7BE7D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3966D0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EC7976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12DB26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E7B93E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95B8E8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C93A73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A7F812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46414B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5FA244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B6A5D6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三、投标报价表</w:t>
      </w:r>
    </w:p>
    <w:p w14:paraId="16C52338" w14:textId="77777777" w:rsidR="00A177C8" w:rsidRDefault="00A177C8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572"/>
        <w:gridCol w:w="2106"/>
        <w:gridCol w:w="1213"/>
      </w:tblGrid>
      <w:tr w:rsidR="00A177C8" w14:paraId="5F01A795" w14:textId="77777777">
        <w:tc>
          <w:tcPr>
            <w:tcW w:w="704" w:type="dxa"/>
          </w:tcPr>
          <w:p w14:paraId="76189364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14:paraId="27DB5944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服务阶段</w:t>
            </w:r>
          </w:p>
        </w:tc>
        <w:tc>
          <w:tcPr>
            <w:tcW w:w="2572" w:type="dxa"/>
          </w:tcPr>
          <w:p w14:paraId="24FC5BF3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2106" w:type="dxa"/>
          </w:tcPr>
          <w:p w14:paraId="00602F61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报价（元）</w:t>
            </w:r>
          </w:p>
        </w:tc>
        <w:tc>
          <w:tcPr>
            <w:tcW w:w="1213" w:type="dxa"/>
          </w:tcPr>
          <w:p w14:paraId="05065543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177C8" w14:paraId="351B8C72" w14:textId="77777777">
        <w:tc>
          <w:tcPr>
            <w:tcW w:w="704" w:type="dxa"/>
            <w:vAlign w:val="center"/>
          </w:tcPr>
          <w:p w14:paraId="5D86E8D6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B9F4E68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前期立案尽职</w:t>
            </w:r>
          </w:p>
        </w:tc>
        <w:tc>
          <w:tcPr>
            <w:tcW w:w="2572" w:type="dxa"/>
            <w:vAlign w:val="center"/>
          </w:tcPr>
          <w:p w14:paraId="498FBE80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案件梳理、尽调、破产申请、立案协助</w:t>
            </w:r>
          </w:p>
        </w:tc>
        <w:tc>
          <w:tcPr>
            <w:tcW w:w="2106" w:type="dxa"/>
            <w:vAlign w:val="center"/>
          </w:tcPr>
          <w:p w14:paraId="2A8C22B9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5D1CCE19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4778AA5A" w14:textId="77777777">
        <w:tc>
          <w:tcPr>
            <w:tcW w:w="704" w:type="dxa"/>
            <w:vAlign w:val="center"/>
          </w:tcPr>
          <w:p w14:paraId="7CE7B273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FB5D917" w14:textId="64770B16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申报债权</w:t>
            </w:r>
          </w:p>
        </w:tc>
        <w:tc>
          <w:tcPr>
            <w:tcW w:w="2572" w:type="dxa"/>
            <w:vAlign w:val="center"/>
          </w:tcPr>
          <w:p w14:paraId="5E56362C" w14:textId="45F14593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宋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负责申报债权、对债权异议予以回复、确认债权</w:t>
            </w:r>
          </w:p>
        </w:tc>
        <w:tc>
          <w:tcPr>
            <w:tcW w:w="2106" w:type="dxa"/>
            <w:vAlign w:val="center"/>
          </w:tcPr>
          <w:p w14:paraId="2C6928A0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59485884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15887F9D" w14:textId="77777777">
        <w:tc>
          <w:tcPr>
            <w:tcW w:w="704" w:type="dxa"/>
            <w:vAlign w:val="center"/>
          </w:tcPr>
          <w:p w14:paraId="7B2C15D5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54E9618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资产清查处置</w:t>
            </w:r>
          </w:p>
        </w:tc>
        <w:tc>
          <w:tcPr>
            <w:tcW w:w="2572" w:type="dxa"/>
            <w:vAlign w:val="center"/>
          </w:tcPr>
          <w:p w14:paraId="12E11187" w14:textId="5406F889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参与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资产确权、协助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资产评估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、处置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法律事务</w:t>
            </w:r>
          </w:p>
        </w:tc>
        <w:tc>
          <w:tcPr>
            <w:tcW w:w="2106" w:type="dxa"/>
            <w:vAlign w:val="center"/>
          </w:tcPr>
          <w:p w14:paraId="5F6A36B7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8C2000C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2EF523AF" w14:textId="77777777">
        <w:tc>
          <w:tcPr>
            <w:tcW w:w="704" w:type="dxa"/>
            <w:vAlign w:val="center"/>
          </w:tcPr>
          <w:p w14:paraId="309466CE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838AC3A" w14:textId="2A797B55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参加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债权人会议</w:t>
            </w:r>
          </w:p>
        </w:tc>
        <w:tc>
          <w:tcPr>
            <w:tcW w:w="2572" w:type="dxa"/>
            <w:vAlign w:val="center"/>
          </w:tcPr>
          <w:p w14:paraId="4133FA2C" w14:textId="6761B48B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参加债权人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会议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并提交相关意见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审议相关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方案</w:t>
            </w:r>
          </w:p>
        </w:tc>
        <w:tc>
          <w:tcPr>
            <w:tcW w:w="2106" w:type="dxa"/>
            <w:vAlign w:val="center"/>
          </w:tcPr>
          <w:p w14:paraId="0211404E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6ADCAD66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0F75C2D0" w14:textId="77777777">
        <w:tc>
          <w:tcPr>
            <w:tcW w:w="704" w:type="dxa"/>
            <w:vAlign w:val="center"/>
          </w:tcPr>
          <w:p w14:paraId="0D66C446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3A8460C9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诉讼仲裁代理</w:t>
            </w:r>
          </w:p>
        </w:tc>
        <w:tc>
          <w:tcPr>
            <w:tcW w:w="2572" w:type="dxa"/>
            <w:vAlign w:val="center"/>
          </w:tcPr>
          <w:p w14:paraId="0381D112" w14:textId="2A581D4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宋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代理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破产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过程中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相关一、二审、执行案件</w:t>
            </w:r>
          </w:p>
        </w:tc>
        <w:tc>
          <w:tcPr>
            <w:tcW w:w="2106" w:type="dxa"/>
            <w:vAlign w:val="center"/>
          </w:tcPr>
          <w:p w14:paraId="263E4F0C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F6B38FB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5E70C6A7" w14:textId="77777777">
        <w:tc>
          <w:tcPr>
            <w:tcW w:w="704" w:type="dxa"/>
            <w:vAlign w:val="center"/>
          </w:tcPr>
          <w:p w14:paraId="33BF5FEF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FD01A68" w14:textId="1167EC09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审核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清算报告</w:t>
            </w:r>
          </w:p>
        </w:tc>
        <w:tc>
          <w:tcPr>
            <w:tcW w:w="2572" w:type="dxa"/>
            <w:vAlign w:val="center"/>
          </w:tcPr>
          <w:p w14:paraId="7D91E5AA" w14:textId="5AD6D46F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对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清算方案、财产分配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方案提出异议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审议并确认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清算报告</w:t>
            </w:r>
          </w:p>
        </w:tc>
        <w:tc>
          <w:tcPr>
            <w:tcW w:w="2106" w:type="dxa"/>
            <w:vAlign w:val="center"/>
          </w:tcPr>
          <w:p w14:paraId="61249B73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546C6BCF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7CC208FB" w14:textId="77777777">
        <w:tc>
          <w:tcPr>
            <w:tcW w:w="704" w:type="dxa"/>
            <w:vAlign w:val="center"/>
          </w:tcPr>
          <w:p w14:paraId="2781E86F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3DBEB627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注销及收尾</w:t>
            </w:r>
          </w:p>
        </w:tc>
        <w:tc>
          <w:tcPr>
            <w:tcW w:w="2572" w:type="dxa"/>
            <w:vAlign w:val="center"/>
          </w:tcPr>
          <w:p w14:paraId="585EC91D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配合完成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工商、税务、银行注销，遗留问题处理</w:t>
            </w:r>
          </w:p>
        </w:tc>
        <w:tc>
          <w:tcPr>
            <w:tcW w:w="2106" w:type="dxa"/>
            <w:vAlign w:val="center"/>
          </w:tcPr>
          <w:p w14:paraId="47563A4C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52074A81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187EF768" w14:textId="77777777">
        <w:tc>
          <w:tcPr>
            <w:tcW w:w="704" w:type="dxa"/>
            <w:vAlign w:val="center"/>
          </w:tcPr>
          <w:p w14:paraId="0C2DC46A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52D4D3B9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档案整理移交</w:t>
            </w:r>
          </w:p>
        </w:tc>
        <w:tc>
          <w:tcPr>
            <w:tcW w:w="2572" w:type="dxa"/>
            <w:vAlign w:val="center"/>
          </w:tcPr>
          <w:p w14:paraId="49CB4968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全套案卷归档、装订、交接</w:t>
            </w:r>
          </w:p>
        </w:tc>
        <w:tc>
          <w:tcPr>
            <w:tcW w:w="2106" w:type="dxa"/>
            <w:vAlign w:val="center"/>
          </w:tcPr>
          <w:p w14:paraId="16CBF586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996C7E2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1E55537A" w14:textId="77777777">
        <w:tc>
          <w:tcPr>
            <w:tcW w:w="704" w:type="dxa"/>
            <w:vAlign w:val="center"/>
          </w:tcPr>
          <w:p w14:paraId="4B5789FE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55C417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合计总价</w:t>
            </w:r>
          </w:p>
        </w:tc>
        <w:tc>
          <w:tcPr>
            <w:tcW w:w="2572" w:type="dxa"/>
            <w:vAlign w:val="center"/>
          </w:tcPr>
          <w:p w14:paraId="0D509900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14:paraId="680A452D" w14:textId="77777777" w:rsidR="00A177C8" w:rsidRDefault="00121C8E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大写</w:t>
            </w:r>
          </w:p>
        </w:tc>
        <w:tc>
          <w:tcPr>
            <w:tcW w:w="1213" w:type="dxa"/>
            <w:vAlign w:val="center"/>
          </w:tcPr>
          <w:p w14:paraId="6D0CC7AE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39A7C9F1" w14:textId="77777777">
        <w:tc>
          <w:tcPr>
            <w:tcW w:w="704" w:type="dxa"/>
            <w:vAlign w:val="center"/>
          </w:tcPr>
          <w:p w14:paraId="1A87CCC6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C77735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0D351DB3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14:paraId="49C10FA7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E825948" w14:textId="77777777" w:rsidR="00A177C8" w:rsidRDefault="00A177C8">
            <w:pPr>
              <w:widowControl/>
              <w:spacing w:line="360" w:lineRule="atLeast"/>
              <w:jc w:val="left"/>
              <w:outlineLvl w:val="1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466FCC" w14:textId="77777777" w:rsidR="00A177C8" w:rsidRDefault="00A177C8">
      <w:pPr>
        <w:widowControl/>
        <w:spacing w:line="360" w:lineRule="atLeast"/>
        <w:jc w:val="left"/>
        <w:outlineLvl w:val="1"/>
        <w:rPr>
          <w:rFonts w:ascii="黑体" w:eastAsia="黑体" w:hAnsi="黑体" w:cs="Arial"/>
          <w:color w:val="000000"/>
          <w:kern w:val="0"/>
          <w:sz w:val="24"/>
          <w:szCs w:val="24"/>
        </w:rPr>
      </w:pPr>
    </w:p>
    <w:p w14:paraId="2FA9F96A" w14:textId="77777777" w:rsidR="00A177C8" w:rsidRDefault="00A177C8">
      <w:pPr>
        <w:widowControl/>
        <w:spacing w:line="360" w:lineRule="atLeast"/>
        <w:jc w:val="left"/>
        <w:outlineLvl w:val="1"/>
        <w:rPr>
          <w:rFonts w:ascii="黑体" w:eastAsia="黑体" w:hAnsi="黑体" w:cs="Arial"/>
          <w:color w:val="000000"/>
          <w:kern w:val="0"/>
          <w:sz w:val="24"/>
          <w:szCs w:val="24"/>
        </w:rPr>
      </w:pPr>
    </w:p>
    <w:p w14:paraId="68B07585" w14:textId="77777777" w:rsidR="00A177C8" w:rsidRDefault="00A177C8">
      <w:pPr>
        <w:widowControl/>
        <w:spacing w:line="360" w:lineRule="atLeast"/>
        <w:jc w:val="left"/>
        <w:outlineLvl w:val="1"/>
        <w:rPr>
          <w:rFonts w:ascii="黑体" w:eastAsia="黑体" w:hAnsi="黑体" w:cs="Arial"/>
          <w:color w:val="000000"/>
          <w:kern w:val="0"/>
          <w:sz w:val="24"/>
          <w:szCs w:val="24"/>
        </w:rPr>
      </w:pPr>
    </w:p>
    <w:p w14:paraId="3AAA9CE6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投标单位盖章：</w:t>
      </w:r>
    </w:p>
    <w:p w14:paraId="3E51F1A1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法定代表人签字：</w:t>
      </w:r>
    </w:p>
    <w:p w14:paraId="68AF91AA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32742157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671997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96F69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B421E8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C2FE6BD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四、法定代表人身份证明</w:t>
      </w:r>
    </w:p>
    <w:p w14:paraId="44B3BC39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单位名称：________________________</w:t>
      </w:r>
    </w:p>
    <w:p w14:paraId="3E48AF33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律所性质：________________________</w:t>
      </w:r>
    </w:p>
    <w:p w14:paraId="0575FEDD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注册地址：________________________</w:t>
      </w:r>
    </w:p>
    <w:p w14:paraId="1ABF14C4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成立时间：_______年____月____日</w:t>
      </w:r>
    </w:p>
    <w:p w14:paraId="2F8C6AB0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姓名：________ 性别：____ 身份证号：________________________</w:t>
      </w:r>
    </w:p>
    <w:p w14:paraId="38E5A05B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系本单位法定代表人，特此证明。</w:t>
      </w:r>
    </w:p>
    <w:p w14:paraId="5C45824C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附：法人身份证复印件</w:t>
      </w:r>
    </w:p>
    <w:p w14:paraId="393D19B4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4BF9E9DB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14CE76CC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71A48322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单位公章：</w:t>
      </w:r>
    </w:p>
    <w:p w14:paraId="4F47B446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0CDBC44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188736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2684DF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3B29AB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8880B5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8C177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F4FAED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13978D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AEC6B4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CB06B8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3B79B7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36133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C483E1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B3681A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EF5268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7821A0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DCE6A8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C013F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A34379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4EBCA2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067BC3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965636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614537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E2AACD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6050838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五、授权委托书</w:t>
      </w:r>
    </w:p>
    <w:p w14:paraId="6A1929ED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本所法定代表人________，现委托________（身份证号：________________）为我方合法代理人，全权办理南京峻景房地产开发有限公司破产清算法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务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项目投标、开标、答疑、合同签订、项目履约等全部相关事宜，代理人签署文件均代表我方意愿，法律责任由我方承担。</w:t>
      </w:r>
    </w:p>
    <w:p w14:paraId="626A6447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委托期限：自_______年____月____日至项目全部结束。</w:t>
      </w:r>
    </w:p>
    <w:p w14:paraId="2695E950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代理人无转委托权。</w:t>
      </w:r>
    </w:p>
    <w:p w14:paraId="43806E14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2D76CC16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6C990605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60245CA8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法定代表人签字：</w:t>
      </w:r>
    </w:p>
    <w:p w14:paraId="6E037484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代理人签字：</w:t>
      </w:r>
    </w:p>
    <w:p w14:paraId="1599E3D7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单位公章：</w:t>
      </w:r>
    </w:p>
    <w:p w14:paraId="4BC67A8F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1858966B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附：代理人身份证复印件</w:t>
      </w:r>
    </w:p>
    <w:p w14:paraId="198F51E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15D515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FA549F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D96203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F71FE3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D5755F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E02AEE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C3CE98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AAF0D9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30574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BB3D65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56EFD6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32A90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8515BF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5C95CD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9BE02B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98CE72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015309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A8289E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31ADAD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9445A1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A44D166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六、商务偏离表</w:t>
      </w:r>
    </w:p>
    <w:p w14:paraId="3525F9AF" w14:textId="77777777" w:rsidR="00A177C8" w:rsidRDefault="00A177C8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268"/>
        <w:gridCol w:w="1984"/>
        <w:gridCol w:w="930"/>
      </w:tblGrid>
      <w:tr w:rsidR="00A177C8" w14:paraId="5E6C8F1D" w14:textId="77777777">
        <w:tc>
          <w:tcPr>
            <w:tcW w:w="846" w:type="dxa"/>
            <w:vAlign w:val="center"/>
          </w:tcPr>
          <w:p w14:paraId="768860A9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68F13924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招标要求</w:t>
            </w:r>
          </w:p>
        </w:tc>
        <w:tc>
          <w:tcPr>
            <w:tcW w:w="2268" w:type="dxa"/>
            <w:vAlign w:val="center"/>
          </w:tcPr>
          <w:p w14:paraId="0929FCC3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我方响应内容</w:t>
            </w:r>
          </w:p>
        </w:tc>
        <w:tc>
          <w:tcPr>
            <w:tcW w:w="1984" w:type="dxa"/>
            <w:vAlign w:val="center"/>
          </w:tcPr>
          <w:p w14:paraId="2AD280C9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偏离情况</w:t>
            </w:r>
          </w:p>
        </w:tc>
        <w:tc>
          <w:tcPr>
            <w:tcW w:w="930" w:type="dxa"/>
            <w:vAlign w:val="center"/>
          </w:tcPr>
          <w:p w14:paraId="68A35E7B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177C8" w14:paraId="445DA069" w14:textId="77777777">
        <w:tc>
          <w:tcPr>
            <w:tcW w:w="846" w:type="dxa"/>
            <w:vAlign w:val="center"/>
          </w:tcPr>
          <w:p w14:paraId="05BB4419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C303085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全程破产清算及收尾服务</w:t>
            </w:r>
          </w:p>
        </w:tc>
        <w:tc>
          <w:tcPr>
            <w:tcW w:w="2268" w:type="dxa"/>
            <w:vAlign w:val="center"/>
          </w:tcPr>
          <w:p w14:paraId="5FC25C6B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全覆盖全流程法务工作</w:t>
            </w:r>
          </w:p>
        </w:tc>
        <w:tc>
          <w:tcPr>
            <w:tcW w:w="1984" w:type="dxa"/>
            <w:vAlign w:val="center"/>
          </w:tcPr>
          <w:p w14:paraId="3E6069AF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无偏离</w:t>
            </w:r>
          </w:p>
        </w:tc>
        <w:tc>
          <w:tcPr>
            <w:tcW w:w="930" w:type="dxa"/>
            <w:vAlign w:val="center"/>
          </w:tcPr>
          <w:p w14:paraId="13C33F3C" w14:textId="77777777" w:rsidR="00A177C8" w:rsidRDefault="00A177C8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14EEFC1B" w14:textId="77777777">
        <w:tc>
          <w:tcPr>
            <w:tcW w:w="846" w:type="dxa"/>
            <w:vAlign w:val="center"/>
          </w:tcPr>
          <w:p w14:paraId="56DFBE26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608EA81F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服务人员专业资质</w:t>
            </w:r>
          </w:p>
        </w:tc>
        <w:tc>
          <w:tcPr>
            <w:tcW w:w="2268" w:type="dxa"/>
            <w:vAlign w:val="center"/>
          </w:tcPr>
          <w:p w14:paraId="5BD491D0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配备资深破产专业律师团队</w:t>
            </w:r>
          </w:p>
        </w:tc>
        <w:tc>
          <w:tcPr>
            <w:tcW w:w="1984" w:type="dxa"/>
            <w:vAlign w:val="center"/>
          </w:tcPr>
          <w:p w14:paraId="04EACFA1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无偏离</w:t>
            </w:r>
          </w:p>
        </w:tc>
        <w:tc>
          <w:tcPr>
            <w:tcW w:w="930" w:type="dxa"/>
            <w:vAlign w:val="center"/>
          </w:tcPr>
          <w:p w14:paraId="3F2BF8A7" w14:textId="77777777" w:rsidR="00A177C8" w:rsidRDefault="00A177C8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2883D43A" w14:textId="77777777">
        <w:tc>
          <w:tcPr>
            <w:tcW w:w="846" w:type="dxa"/>
            <w:vAlign w:val="center"/>
          </w:tcPr>
          <w:p w14:paraId="2F4A5EB1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531F7FB2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服务时限与响应要求</w:t>
            </w:r>
          </w:p>
        </w:tc>
        <w:tc>
          <w:tcPr>
            <w:tcW w:w="2268" w:type="dxa"/>
            <w:vAlign w:val="center"/>
          </w:tcPr>
          <w:p w14:paraId="7A72AFDE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满足招标时效规定</w:t>
            </w:r>
          </w:p>
        </w:tc>
        <w:tc>
          <w:tcPr>
            <w:tcW w:w="1984" w:type="dxa"/>
            <w:vAlign w:val="center"/>
          </w:tcPr>
          <w:p w14:paraId="1CD1E08B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无偏离</w:t>
            </w:r>
          </w:p>
        </w:tc>
        <w:tc>
          <w:tcPr>
            <w:tcW w:w="930" w:type="dxa"/>
            <w:vAlign w:val="center"/>
          </w:tcPr>
          <w:p w14:paraId="3AA008F1" w14:textId="77777777" w:rsidR="00A177C8" w:rsidRDefault="00A177C8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505BABE3" w14:textId="77777777">
        <w:tc>
          <w:tcPr>
            <w:tcW w:w="846" w:type="dxa"/>
            <w:vAlign w:val="center"/>
          </w:tcPr>
          <w:p w14:paraId="64718445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1EC24AE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档案移交闭环办结</w:t>
            </w:r>
          </w:p>
        </w:tc>
        <w:tc>
          <w:tcPr>
            <w:tcW w:w="2268" w:type="dxa"/>
            <w:vAlign w:val="center"/>
          </w:tcPr>
          <w:p w14:paraId="0B480A58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按要求完整归档移交</w:t>
            </w:r>
          </w:p>
        </w:tc>
        <w:tc>
          <w:tcPr>
            <w:tcW w:w="1984" w:type="dxa"/>
            <w:vAlign w:val="center"/>
          </w:tcPr>
          <w:p w14:paraId="65C1916E" w14:textId="77777777" w:rsidR="00A177C8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无偏离</w:t>
            </w:r>
          </w:p>
        </w:tc>
        <w:tc>
          <w:tcPr>
            <w:tcW w:w="930" w:type="dxa"/>
            <w:vAlign w:val="center"/>
          </w:tcPr>
          <w:p w14:paraId="4DF52365" w14:textId="77777777" w:rsidR="00A177C8" w:rsidRDefault="00A177C8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D91CC68" w14:textId="77777777" w:rsidR="00A177C8" w:rsidRDefault="00A177C8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271FFCF3" w14:textId="77777777" w:rsidR="00A177C8" w:rsidRDefault="00A177C8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24D34519" w14:textId="77777777" w:rsidR="00A177C8" w:rsidRDefault="00A177C8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74B04A66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投标单位盖章：</w:t>
      </w:r>
    </w:p>
    <w:p w14:paraId="2A232F3B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22D7ADCC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AE0283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ED5F2B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03B6C7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9B1CFF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F13305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28067A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127983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33736B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20EC0B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0B663F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D1AD97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B322AA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3BD727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FD305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BEAD2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CF3E87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667B8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D520D5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088F76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BF5A39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69FC46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7089C0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73329E6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七、投标人基本情况表</w:t>
      </w:r>
    </w:p>
    <w:p w14:paraId="2A38569C" w14:textId="77777777" w:rsidR="00A177C8" w:rsidRDefault="00A177C8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A177C8" w14:paraId="49C1B5F5" w14:textId="77777777">
        <w:tc>
          <w:tcPr>
            <w:tcW w:w="2263" w:type="dxa"/>
          </w:tcPr>
          <w:p w14:paraId="006E5817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律所名称</w:t>
            </w:r>
          </w:p>
        </w:tc>
        <w:tc>
          <w:tcPr>
            <w:tcW w:w="6033" w:type="dxa"/>
          </w:tcPr>
          <w:p w14:paraId="2436149E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0392F07E" w14:textId="77777777">
        <w:tc>
          <w:tcPr>
            <w:tcW w:w="2263" w:type="dxa"/>
          </w:tcPr>
          <w:p w14:paraId="276E6510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执业许可证号</w:t>
            </w:r>
          </w:p>
        </w:tc>
        <w:tc>
          <w:tcPr>
            <w:tcW w:w="6033" w:type="dxa"/>
          </w:tcPr>
          <w:p w14:paraId="5127EBEE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628DF7CA" w14:textId="77777777">
        <w:tc>
          <w:tcPr>
            <w:tcW w:w="2263" w:type="dxa"/>
          </w:tcPr>
          <w:p w14:paraId="3720BBE2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33" w:type="dxa"/>
          </w:tcPr>
          <w:p w14:paraId="7DD4AA16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6F1EE619" w14:textId="77777777">
        <w:tc>
          <w:tcPr>
            <w:tcW w:w="2263" w:type="dxa"/>
          </w:tcPr>
          <w:p w14:paraId="7B67EC80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注册办公地址</w:t>
            </w:r>
          </w:p>
        </w:tc>
        <w:tc>
          <w:tcPr>
            <w:tcW w:w="6033" w:type="dxa"/>
          </w:tcPr>
          <w:p w14:paraId="5CE8EED2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3496FD18" w14:textId="77777777">
        <w:tc>
          <w:tcPr>
            <w:tcW w:w="2263" w:type="dxa"/>
          </w:tcPr>
          <w:p w14:paraId="0F6E37EF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6033" w:type="dxa"/>
          </w:tcPr>
          <w:p w14:paraId="12648034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2B424FFE" w14:textId="77777777">
        <w:tc>
          <w:tcPr>
            <w:tcW w:w="2263" w:type="dxa"/>
          </w:tcPr>
          <w:p w14:paraId="1F785005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负责人姓名及电话</w:t>
            </w:r>
          </w:p>
        </w:tc>
        <w:tc>
          <w:tcPr>
            <w:tcW w:w="6033" w:type="dxa"/>
          </w:tcPr>
          <w:p w14:paraId="65A2A289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5FB37CCC" w14:textId="77777777">
        <w:tc>
          <w:tcPr>
            <w:tcW w:w="2263" w:type="dxa"/>
          </w:tcPr>
          <w:p w14:paraId="2A037E2B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项目对接人及电话</w:t>
            </w:r>
          </w:p>
        </w:tc>
        <w:tc>
          <w:tcPr>
            <w:tcW w:w="6033" w:type="dxa"/>
          </w:tcPr>
          <w:p w14:paraId="630C089E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43D1C47E" w14:textId="77777777">
        <w:tc>
          <w:tcPr>
            <w:tcW w:w="2263" w:type="dxa"/>
          </w:tcPr>
          <w:p w14:paraId="03C7916E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现有执业律师人数</w:t>
            </w:r>
          </w:p>
        </w:tc>
        <w:tc>
          <w:tcPr>
            <w:tcW w:w="6033" w:type="dxa"/>
          </w:tcPr>
          <w:p w14:paraId="1A22CAFB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3B69AD73" w14:textId="77777777">
        <w:tc>
          <w:tcPr>
            <w:tcW w:w="2263" w:type="dxa"/>
          </w:tcPr>
          <w:p w14:paraId="479CD64C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破产专业律师人数</w:t>
            </w:r>
          </w:p>
        </w:tc>
        <w:tc>
          <w:tcPr>
            <w:tcW w:w="6033" w:type="dxa"/>
          </w:tcPr>
          <w:p w14:paraId="66D60423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1F2C1865" w14:textId="77777777">
        <w:tc>
          <w:tcPr>
            <w:tcW w:w="2263" w:type="dxa"/>
            <w:vAlign w:val="center"/>
          </w:tcPr>
          <w:p w14:paraId="1DF37364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近三年同类破产案件数量</w:t>
            </w:r>
          </w:p>
        </w:tc>
        <w:tc>
          <w:tcPr>
            <w:tcW w:w="6033" w:type="dxa"/>
          </w:tcPr>
          <w:p w14:paraId="1F9E839E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ED68013" w14:textId="77777777" w:rsidR="00A177C8" w:rsidRDefault="00A177C8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0952BC42" w14:textId="77777777" w:rsidR="00A177C8" w:rsidRDefault="00A177C8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75AFDFA2" w14:textId="77777777" w:rsidR="00A177C8" w:rsidRDefault="00A177C8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26FF2635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单位盖章：</w:t>
      </w:r>
    </w:p>
    <w:p w14:paraId="25697A13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5A7CF4E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29E605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0FA1F0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8F8DB8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CEC6CE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9E2DFA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3BC833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3F4CCE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D78230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74A8EF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326529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25E8A3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60371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903480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3FD118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5B7E94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0E78A7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6CD39FD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八、资格证明文件</w:t>
      </w:r>
    </w:p>
    <w:p w14:paraId="0A364521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粘贴以下证件复印件并加盖单位公章</w:t>
      </w:r>
    </w:p>
    <w:p w14:paraId="5F06A887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.律师事务所执业许可证副本</w:t>
      </w:r>
    </w:p>
    <w:p w14:paraId="1D7C1CF6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.律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所主体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资格证照</w:t>
      </w:r>
    </w:p>
    <w:p w14:paraId="3D6FBBA5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.项目负责人、主办律师执业证书</w:t>
      </w:r>
    </w:p>
    <w:p w14:paraId="027E7E37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.律所及律师无处罚不良记录证明</w:t>
      </w:r>
    </w:p>
    <w:p w14:paraId="49BCAC37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.相关荣誉、破产管理人资质等材料</w:t>
      </w:r>
    </w:p>
    <w:p w14:paraId="6627A89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14664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FC30FE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E6AAEF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874EAD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6BDFF5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EE451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0E49C4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7ED399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70C168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5FB658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563692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5E94BD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897024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C02F90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415536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5699A7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72B8C3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969465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2FFD3F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2516B1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C11EF1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15A2A5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E80512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7F7F55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294FEB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E666EA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252BE1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64BEBD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3D9846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44F668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06CF5F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455FA6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7B0425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九、保密承诺书</w:t>
      </w:r>
    </w:p>
    <w:p w14:paraId="7C5AB2C4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我方承诺对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南京峻景房地产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破产案件资产、债务、财务、诉讼、会议决议等全部涉密信息严格保密，未经招标方书面许可不得对外泄露。保密义务不因投标、服务结束终止，泄密自愿承担全部法律及赔偿责任。</w:t>
      </w:r>
    </w:p>
    <w:p w14:paraId="1DAC338B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6C64AB32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7A3A228E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3E88F34D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承诺单位盖章：</w:t>
      </w:r>
    </w:p>
    <w:p w14:paraId="26EAB29B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法定代表人签字：</w:t>
      </w:r>
    </w:p>
    <w:p w14:paraId="14D2B1CA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71FB3ED0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674B9F0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5458FF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AD7D03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BAC77E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6FB9B3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E790D8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B65249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460756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16E565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07947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44651D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9392FF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698DE2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74F565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E5D601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0A980A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71B97E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DC43D7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0AE952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F4C6DA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3561AC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7E27E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8EDF64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BA16C1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12E48A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19A117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839D84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EA5A6C0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十、廉洁执业承诺书</w:t>
      </w:r>
    </w:p>
    <w:p w14:paraId="43FAF0E3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我方投标及服务期间严格遵守法律法规与行业纪律，不串通投标、不提供虚假材料、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不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收受不正当利益、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不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违规谋取私利。违反承诺自愿取消资格、承担相应责任。</w:t>
      </w:r>
    </w:p>
    <w:p w14:paraId="0439E862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2E938E84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407FA539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0CF805D7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承诺单位盖章：</w:t>
      </w:r>
    </w:p>
    <w:p w14:paraId="2204C6A0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法定代表人签字：</w:t>
      </w:r>
    </w:p>
    <w:p w14:paraId="2C44A079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7A14293E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A0FBC84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46BC96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1326AC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1EDC2B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A90085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4C88EE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8F000E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988856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DE44A7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E53FEF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E17AEA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A29622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E47241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D92F8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CA5422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040F5D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D4B275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841DE3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075F28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B2B93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172187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09D541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44EC76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2DA0F8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8B3273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99F6CB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080BB8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85A4DAE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十一、无不良执业记录承诺书</w:t>
      </w:r>
    </w:p>
    <w:p w14:paraId="1B62F2CA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本律所及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拟派服务团队近三年内无司法行政机关、律协行政处罚、行业处分，无失信、重大违法、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涉重大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负面案件，资信状况良好。承诺内容属实，虚假自愿作废投标资格。</w:t>
      </w:r>
    </w:p>
    <w:p w14:paraId="4ADADAF3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489A284E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4224A1D6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3E08FC69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承诺单位盖章：</w:t>
      </w:r>
    </w:p>
    <w:p w14:paraId="79C8177E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法定代表人签字：</w:t>
      </w:r>
    </w:p>
    <w:p w14:paraId="0C3A2454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2D905F31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15B72E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E97A8E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1B6239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A41115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694B52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553653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FBB47D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52F2FF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8CAAD1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9EE58E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0BD973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1412C3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90307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410BD6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F8623C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56813D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182AFF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3AA5BF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6B1B35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EF64C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AF173A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702748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1FCF80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5BB7C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7495BD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A29CA8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7DD584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CB7E3C5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十二、服务实施方案</w:t>
      </w:r>
    </w:p>
    <w:p w14:paraId="2C7B7D8E" w14:textId="77777777" w:rsidR="00A177C8" w:rsidRDefault="00121C8E">
      <w:pPr>
        <w:widowControl/>
        <w:spacing w:line="360" w:lineRule="auto"/>
        <w:ind w:firstLineChars="200" w:firstLine="480"/>
        <w:jc w:val="left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一、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项目概况与服务目标</w:t>
      </w:r>
    </w:p>
    <w:p w14:paraId="188C84CF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本次为南京峻景房地产开发有限公司破产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清算全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流程法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务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服务，涵盖案件启动至最终注销、档案移交全部收尾工作。</w:t>
      </w:r>
    </w:p>
    <w:p w14:paraId="2919E3A3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服务目标：程序合法规范、资产债务厘清、依法处置清偿、稳妥化解纠纷、圆满办结清算闭环，保障委托方合法权益。</w:t>
      </w:r>
    </w:p>
    <w:p w14:paraId="7811AFA7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二、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全部服务工作范围</w:t>
      </w:r>
    </w:p>
    <w:p w14:paraId="598C9885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1.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前期尽职调查、破产申请、法院立案对接</w:t>
      </w:r>
    </w:p>
    <w:p w14:paraId="01C41417" w14:textId="7EA084E1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.债权申报、异议处置、债权认定</w:t>
      </w:r>
    </w:p>
    <w:p w14:paraId="5A436DCD" w14:textId="6F16B4C8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配合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企业资产盘点、权属核查、资产处置</w:t>
      </w:r>
    </w:p>
    <w:p w14:paraId="67D83B32" w14:textId="1DD92925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参加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历次债权人会议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、提出意见、参与表决</w:t>
      </w:r>
    </w:p>
    <w:p w14:paraId="6D63E951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.破产相关诉讼、仲裁、执行案件全程代理</w:t>
      </w:r>
    </w:p>
    <w:p w14:paraId="2CFAC7CE" w14:textId="2F0C20FF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审核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清算方案、财产分配方案、正式清算报告</w:t>
      </w:r>
    </w:p>
    <w:p w14:paraId="2BCFFB96" w14:textId="7F5AA515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7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配合办理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企业税务、工商、银行账户注销手续</w:t>
      </w:r>
    </w:p>
    <w:p w14:paraId="64F3637C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8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.案件全部资料分类归档、装订、验收移交</w:t>
      </w:r>
    </w:p>
    <w:p w14:paraId="20DB6D9E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.清算结束后遗留问题答疑与善后处置</w:t>
      </w:r>
    </w:p>
    <w:p w14:paraId="7381A014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三、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项目服务团队</w:t>
      </w:r>
    </w:p>
    <w:p w14:paraId="4EE70E16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实行项目负责人总负责制，固定专职团队全程服务，不随意更换人员。</w:t>
      </w:r>
    </w:p>
    <w:p w14:paraId="11142E59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项目负责人：_______ 执业年限：_______ 擅长破产、房地产清算案件</w:t>
      </w:r>
    </w:p>
    <w:p w14:paraId="4E42C354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主办律师：_______ 负责案件核心业务、文书、庭审</w:t>
      </w:r>
    </w:p>
    <w:p w14:paraId="00434AE3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辅助人员：负责资料整理、流程对接、档案归集</w:t>
      </w:r>
    </w:p>
    <w:p w14:paraId="75376A42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四、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实施流程与进度安排</w:t>
      </w:r>
    </w:p>
    <w:p w14:paraId="69F46C2C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.启动阶段：完成尽调，提交破产立案材料</w:t>
      </w:r>
    </w:p>
    <w:p w14:paraId="60E6BA1C" w14:textId="537C1DA6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.债权阶段：完成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债权申报，确保债权得以确认</w:t>
      </w:r>
    </w:p>
    <w:p w14:paraId="0E7EB41E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.资产阶段：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配合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厘清资产状况，依法合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规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处置</w:t>
      </w:r>
    </w:p>
    <w:p w14:paraId="2DD0A49D" w14:textId="64161EE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.会议与清偿：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参与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债权人会议，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推动通过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财产分配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方案</w:t>
      </w:r>
    </w:p>
    <w:p w14:paraId="3847D9FA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.诉讼阶段：办结全部关联纠纷案件</w:t>
      </w:r>
    </w:p>
    <w:p w14:paraId="3782157A" w14:textId="3FAC6BFE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.收尾阶段：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审核并确认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清算报告，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配合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完成注销手续</w:t>
      </w:r>
    </w:p>
    <w:p w14:paraId="7C4AC5C8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7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.归档移交：整理全套案卷，完成项目闭环</w:t>
      </w:r>
    </w:p>
    <w:p w14:paraId="5B7F8B2E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lastRenderedPageBreak/>
        <w:t>五、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服务质量保障</w:t>
      </w:r>
    </w:p>
    <w:p w14:paraId="470B541A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.人员固定保障，核心人员全程跟进</w:t>
      </w:r>
    </w:p>
    <w:p w14:paraId="18A654F8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.建立工作台账，定期汇报，重大事项即时上报</w:t>
      </w:r>
    </w:p>
    <w:p w14:paraId="40167AAC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.法律文书双人复核，杜绝程序与法律瑕疵</w:t>
      </w:r>
    </w:p>
    <w:p w14:paraId="396CE463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.多渠道高效沟通，及时反馈案件进展</w:t>
      </w:r>
    </w:p>
    <w:p w14:paraId="532EDA1E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.严格依照法律及法院要求推进各项工作</w:t>
      </w:r>
    </w:p>
    <w:p w14:paraId="270A2761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六、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风险防控措施</w:t>
      </w:r>
    </w:p>
    <w:p w14:paraId="5DB886BC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针对债权争议、资产处置纠纷、债权人分歧、文书漏洞、人员变动等问题制定专项预案，突发事项快速响应处置，平稳推进清算各项工作。</w:t>
      </w:r>
    </w:p>
    <w:p w14:paraId="42C90ED4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七、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收尾及档案移交</w:t>
      </w:r>
    </w:p>
    <w:p w14:paraId="364AA33F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清算程序终结后，办结全部注销手续；按规范分类整编案卷，统一装订编号，核验无误后签署移交清单，完成资料交接，妥善处置后续善后事宜。</w:t>
      </w:r>
    </w:p>
    <w:p w14:paraId="6865859F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C42A939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5A56490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2936929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18791AE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2E2919D" w14:textId="4D486549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D628C97" w14:textId="78B86C58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62176F6" w14:textId="5CDD931B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61678C" w14:textId="22CE3F8D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D68C7F5" w14:textId="17CBE3A3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3E8B1B2" w14:textId="10F5A61A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AF1DBE8" w14:textId="6B8E306A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8E44A3E" w14:textId="7901108D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8E4DDDF" w14:textId="3F20762C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B625EBC" w14:textId="67D92996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11D50C9" w14:textId="2CB0FB13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C9CC964" w14:textId="45E6D1BA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308A297" w14:textId="3D52426A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7CAA1E5" w14:textId="53B1894F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CED819A" w14:textId="1E91CBFC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A4B509F" w14:textId="1660C7F2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9E33CC6" w14:textId="3D9F31B3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F427B98" w14:textId="77777777" w:rsidR="00BE4AD1" w:rsidRDefault="00BE4A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9C40785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十三、同类项目业绩表</w:t>
      </w:r>
    </w:p>
    <w:p w14:paraId="4B1FD9E8" w14:textId="77777777" w:rsidR="00A177C8" w:rsidRDefault="00A177C8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918"/>
        <w:gridCol w:w="1383"/>
        <w:gridCol w:w="1383"/>
        <w:gridCol w:w="1383"/>
        <w:gridCol w:w="1383"/>
      </w:tblGrid>
      <w:tr w:rsidR="00A177C8" w14:paraId="1641D040" w14:textId="77777777">
        <w:tc>
          <w:tcPr>
            <w:tcW w:w="846" w:type="dxa"/>
            <w:vAlign w:val="center"/>
          </w:tcPr>
          <w:p w14:paraId="510EEF8A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18" w:type="dxa"/>
            <w:vAlign w:val="center"/>
          </w:tcPr>
          <w:p w14:paraId="4508677C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破产项目名称</w:t>
            </w:r>
          </w:p>
        </w:tc>
        <w:tc>
          <w:tcPr>
            <w:tcW w:w="1383" w:type="dxa"/>
            <w:vAlign w:val="center"/>
          </w:tcPr>
          <w:p w14:paraId="6E76E9FE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383" w:type="dxa"/>
            <w:vAlign w:val="center"/>
          </w:tcPr>
          <w:p w14:paraId="62FBAF54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383" w:type="dxa"/>
            <w:vAlign w:val="center"/>
          </w:tcPr>
          <w:p w14:paraId="6C8225AB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383" w:type="dxa"/>
            <w:vAlign w:val="center"/>
          </w:tcPr>
          <w:p w14:paraId="57EC1080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办结状态</w:t>
            </w:r>
          </w:p>
        </w:tc>
      </w:tr>
      <w:tr w:rsidR="00A177C8" w14:paraId="340EA5A7" w14:textId="77777777">
        <w:tc>
          <w:tcPr>
            <w:tcW w:w="846" w:type="dxa"/>
            <w:vAlign w:val="center"/>
          </w:tcPr>
          <w:p w14:paraId="75DEE13E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8" w:type="dxa"/>
            <w:vAlign w:val="center"/>
          </w:tcPr>
          <w:p w14:paraId="0273F7FF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5FD977A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CA8F2BF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875688B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B389090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1D4DEDC1" w14:textId="77777777">
        <w:tc>
          <w:tcPr>
            <w:tcW w:w="846" w:type="dxa"/>
            <w:vAlign w:val="center"/>
          </w:tcPr>
          <w:p w14:paraId="30F5BA21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18" w:type="dxa"/>
            <w:vAlign w:val="center"/>
          </w:tcPr>
          <w:p w14:paraId="5DF2623F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6AFF80F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7CC23E1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D892CB5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284D78B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33358417" w14:textId="77777777">
        <w:tc>
          <w:tcPr>
            <w:tcW w:w="846" w:type="dxa"/>
            <w:vAlign w:val="center"/>
          </w:tcPr>
          <w:p w14:paraId="51A6BB10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18" w:type="dxa"/>
            <w:vAlign w:val="center"/>
          </w:tcPr>
          <w:p w14:paraId="04632643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ABF9CD2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3F0253D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ED18627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7145CB7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21959564" w14:textId="77777777">
        <w:tc>
          <w:tcPr>
            <w:tcW w:w="846" w:type="dxa"/>
            <w:vAlign w:val="center"/>
          </w:tcPr>
          <w:p w14:paraId="22217C13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450" w:type="dxa"/>
            <w:gridSpan w:val="5"/>
            <w:vAlign w:val="center"/>
          </w:tcPr>
          <w:p w14:paraId="5B7E9135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后附合同、裁定书、验收证明等业绩佐证复印件</w:t>
            </w:r>
          </w:p>
        </w:tc>
      </w:tr>
    </w:tbl>
    <w:p w14:paraId="220827D9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A129C5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D4BCB1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A01BCC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426C20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A512F1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071CF9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650E84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6C1F85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7FF5A8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3FACFF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9F0DAB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F8EF6A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63059A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44AFB8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EAF925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2366F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6A1833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E7728C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8C0BAA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99DF26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C647E4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BBE8F3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111861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ACA771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F1BA4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288B3A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F539B6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C442C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D8C35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5F7574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B4F32B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F470822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十四、服务承诺</w:t>
      </w:r>
    </w:p>
    <w:p w14:paraId="230FC7D6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.严格按照招标要求及投标内容履约，保质保量完成全部破产清算及收尾工作。</w:t>
      </w:r>
    </w:p>
    <w:p w14:paraId="2F721B29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.服务过程主动配合委托方、人民法院、管理人及相关机构工作。</w:t>
      </w:r>
    </w:p>
    <w:p w14:paraId="4788B322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.项目办结后完整移交所有案卷资料，不留遗留隐患。</w:t>
      </w:r>
    </w:p>
    <w:p w14:paraId="624D04E1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.自觉接受监督考核，违约自愿承担相应责任。</w:t>
      </w:r>
    </w:p>
    <w:p w14:paraId="61A98353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4803DF8B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4038667F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3FC10A4C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投标单位（公章）：</w:t>
      </w:r>
    </w:p>
    <w:p w14:paraId="6BB4E84A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法定代表人签字：</w:t>
      </w:r>
    </w:p>
    <w:p w14:paraId="16404131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2EB97467" w14:textId="77777777" w:rsidR="00A177C8" w:rsidRDefault="00A177C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17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0BC7" w14:textId="77777777" w:rsidR="008B23EF" w:rsidRDefault="008B23EF" w:rsidP="003606C6">
      <w:r>
        <w:separator/>
      </w:r>
    </w:p>
  </w:endnote>
  <w:endnote w:type="continuationSeparator" w:id="0">
    <w:p w14:paraId="4C860E67" w14:textId="77777777" w:rsidR="008B23EF" w:rsidRDefault="008B23EF" w:rsidP="0036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0EFD" w14:textId="77777777" w:rsidR="008B23EF" w:rsidRDefault="008B23EF" w:rsidP="003606C6">
      <w:r>
        <w:separator/>
      </w:r>
    </w:p>
  </w:footnote>
  <w:footnote w:type="continuationSeparator" w:id="0">
    <w:p w14:paraId="14E8F861" w14:textId="77777777" w:rsidR="008B23EF" w:rsidRDefault="008B23EF" w:rsidP="0036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8C"/>
    <w:rsid w:val="DFEE6121"/>
    <w:rsid w:val="00113422"/>
    <w:rsid w:val="00121C8E"/>
    <w:rsid w:val="00161928"/>
    <w:rsid w:val="0026792F"/>
    <w:rsid w:val="00270BBA"/>
    <w:rsid w:val="003606C6"/>
    <w:rsid w:val="0039195A"/>
    <w:rsid w:val="005962DD"/>
    <w:rsid w:val="00765072"/>
    <w:rsid w:val="00790388"/>
    <w:rsid w:val="008B23EF"/>
    <w:rsid w:val="00A177C8"/>
    <w:rsid w:val="00AD5728"/>
    <w:rsid w:val="00B34D8C"/>
    <w:rsid w:val="00B90CED"/>
    <w:rsid w:val="00BE4AD1"/>
    <w:rsid w:val="00CD0F7E"/>
    <w:rsid w:val="00E310BB"/>
    <w:rsid w:val="00E37B1B"/>
    <w:rsid w:val="00F214F5"/>
    <w:rsid w:val="6FF3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62283"/>
  <w15:docId w15:val="{C623E976-F0AD-4EB4-B3F1-A2ADAF38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226C-4205-4965-9039-95959179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4</cp:revision>
  <dcterms:created xsi:type="dcterms:W3CDTF">2026-05-26T08:02:00Z</dcterms:created>
  <dcterms:modified xsi:type="dcterms:W3CDTF">2026-06-03T03:38:00Z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2052-12.1.3.25858</vt:lpwstr>
  </property>
  <property fmtid="{D5CDD505-2E9C-101B-9397-08002B2CF9AE}" pid="3" name="ICV">
    <vt:lpwstr>B1B6248FC79B01EC691A156ABC95EF5A_42</vt:lpwstr>
  </property>
</Properties>
</file>